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8.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AutoSense OS 3.0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(Essential) — алгоритм распознавания акустической обстановки (варианты ситуаций: тихая ситуация, речь в шуме, медиа-речь + микр., медиа-музыка + микр.).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(auto) StereoZoom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(автоматическая) активация узколучевой бинауральной направленности в соответствии со специальным алгоритмом оценки окружающей акустической обстановки.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(auto) ZoomControl (Речь на 360°)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(стриминга)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«PartnerMic + микрофон», «Телефонный звонок + микрофон», «RogerDirect + микрофон».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Баланс тиннитуса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auto Acclimatization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автоматическое постепенное повышение уровня усиления в процессе использования в соответствии с временными и числовыми параметрами, заданными аудиологом.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SoundRecover II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CC0CC3" w:rsidRPr="00CC0CC3" w:rsidRDefault="00CC0CC3" w:rsidP="00CC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Переключатель.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Регулятор громкости (функция переключателя).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Bluetooth.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Нанопокрытие.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Индекс пыле- и водозащищённости — IP 68.</w:t>
      </w:r>
    </w:p>
    <w:p w:rsidR="00CC0CC3" w:rsidRPr="00CC0CC3" w:rsidRDefault="00CC0CC3" w:rsidP="00CC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Тип батареи — 312.</w:t>
      </w:r>
    </w:p>
    <w:p w:rsidR="00CC0CC3" w:rsidRPr="00CC0CC3" w:rsidRDefault="00CC0CC3" w:rsidP="00CC0CC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0CC3">
        <w:rPr>
          <w:rFonts w:ascii="Roboto" w:eastAsia="Times New Roman" w:hAnsi="Roboto" w:cs="Times New Roman"/>
          <w:b/>
          <w:bCs/>
          <w:sz w:val="17"/>
          <w:lang w:eastAsia="ru-RU"/>
        </w:rPr>
        <w:t>Программа настройки:</w:t>
      </w:r>
      <w:r w:rsidRPr="00CC0CC3">
        <w:rPr>
          <w:rFonts w:ascii="Roboto" w:eastAsia="Times New Roman" w:hAnsi="Roboto" w:cs="Times New Roman"/>
          <w:sz w:val="17"/>
          <w:szCs w:val="17"/>
          <w:lang w:eastAsia="ru-RU"/>
        </w:rPr>
        <w:t> Phonak Target 6.0 и выше</w:t>
      </w:r>
    </w:p>
    <w:p w:rsidR="00896CE4" w:rsidRDefault="00896CE4"/>
    <w:sectPr w:rsidR="00896CE4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896CE4"/>
    <w:rsid w:val="00C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2022-06-25T18:53:00Z</dcterms:created>
  <dcterms:modified xsi:type="dcterms:W3CDTF">2022-06-25T18:53:00Z</dcterms:modified>
</cp:coreProperties>
</file>